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2BA4" w:rsidRPr="00656648" w:rsidRDefault="00656648" w:rsidP="00656648">
      <w:pPr>
        <w:pStyle w:val="IQB-Aufgabentitel"/>
        <w:pBdr>
          <w:top w:val="none" w:sz="0" w:space="0" w:color="auto"/>
          <w:bottom w:val="none" w:sz="0" w:space="0" w:color="auto"/>
        </w:pBdr>
        <w:jc w:val="left"/>
        <w:rPr>
          <w:sz w:val="28"/>
        </w:rPr>
      </w:pPr>
      <w:r w:rsidRPr="00656648">
        <w:rPr>
          <w:sz w:val="28"/>
        </w:rPr>
        <w:t>Didaktische Handreichung: Richtig umgeformt</w:t>
      </w:r>
    </w:p>
    <w:p w:rsidR="00E84B8C" w:rsidRPr="00E84B8C" w:rsidRDefault="00656648">
      <w:pPr>
        <w:pStyle w:val="IQB-Teilaufgabentitel"/>
        <w:rPr>
          <w:b/>
        </w:rPr>
      </w:pPr>
      <w:r w:rsidRPr="00E84B8C">
        <w:rPr>
          <w:b/>
        </w:rPr>
        <w:t xml:space="preserve">Merkmale </w:t>
      </w:r>
      <w:r w:rsidR="00E84B8C" w:rsidRPr="00E84B8C">
        <w:rPr>
          <w:b/>
        </w:rPr>
        <w:t xml:space="preserve">der </w:t>
      </w:r>
      <w:r w:rsidRPr="00E84B8C">
        <w:rPr>
          <w:b/>
        </w:rPr>
        <w:t>Teilaufgabe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466"/>
        <w:gridCol w:w="6604"/>
      </w:tblGrid>
      <w:tr w:rsidR="00E84B8C" w:rsidTr="00CB28B5">
        <w:tc>
          <w:tcPr>
            <w:tcW w:w="2466" w:type="dxa"/>
            <w:vAlign w:val="center"/>
          </w:tcPr>
          <w:p w:rsidR="00E84B8C" w:rsidRDefault="00E84B8C" w:rsidP="00CB28B5">
            <w:pPr>
              <w:pStyle w:val="IQB-Merkmal"/>
            </w:pPr>
            <w:r>
              <w:t>Leitidee</w:t>
            </w:r>
          </w:p>
        </w:tc>
        <w:tc>
          <w:tcPr>
            <w:tcW w:w="6604" w:type="dxa"/>
          </w:tcPr>
          <w:p w:rsidR="00E84B8C" w:rsidRDefault="00E84B8C" w:rsidP="00CB28B5">
            <w:pPr>
              <w:pStyle w:val="IQB-Merkmalswert"/>
            </w:pPr>
            <w:r>
              <w:t>1. Zahl</w:t>
            </w:r>
          </w:p>
        </w:tc>
      </w:tr>
      <w:tr w:rsidR="00E84B8C" w:rsidTr="00CB28B5">
        <w:tc>
          <w:tcPr>
            <w:tcW w:w="2466" w:type="dxa"/>
            <w:vAlign w:val="center"/>
          </w:tcPr>
          <w:p w:rsidR="00E84B8C" w:rsidRDefault="00E84B8C" w:rsidP="00CB28B5">
            <w:pPr>
              <w:pStyle w:val="IQB-Merkmal"/>
            </w:pPr>
            <w:r>
              <w:t>Allgemeine Kompetenz</w:t>
            </w:r>
          </w:p>
        </w:tc>
        <w:tc>
          <w:tcPr>
            <w:tcW w:w="6604" w:type="dxa"/>
          </w:tcPr>
          <w:p w:rsidR="00E84B8C" w:rsidRDefault="00E84B8C" w:rsidP="00CB28B5">
            <w:pPr>
              <w:pStyle w:val="IQB-Merkmalswert"/>
            </w:pPr>
            <w:r>
              <w:t>Mit Mathematik symbolisch/ formal/ technisch umgehen (K5)</w:t>
            </w:r>
          </w:p>
        </w:tc>
      </w:tr>
      <w:tr w:rsidR="00E84B8C" w:rsidTr="00CB28B5">
        <w:tc>
          <w:tcPr>
            <w:tcW w:w="2466" w:type="dxa"/>
            <w:vAlign w:val="center"/>
          </w:tcPr>
          <w:p w:rsidR="00E84B8C" w:rsidRDefault="00E84B8C" w:rsidP="00CB28B5">
            <w:pPr>
              <w:pStyle w:val="IQB-Merkmal"/>
            </w:pPr>
            <w:r>
              <w:t>Anforderungsbereich</w:t>
            </w:r>
          </w:p>
        </w:tc>
        <w:tc>
          <w:tcPr>
            <w:tcW w:w="6604" w:type="dxa"/>
          </w:tcPr>
          <w:p w:rsidR="00E84B8C" w:rsidRDefault="00E84B8C" w:rsidP="00CB28B5">
            <w:pPr>
              <w:pStyle w:val="IQB-Merkmalswert"/>
            </w:pPr>
            <w:r>
              <w:t>I</w:t>
            </w:r>
          </w:p>
        </w:tc>
      </w:tr>
      <w:tr w:rsidR="00E84B8C" w:rsidTr="00CB28B5">
        <w:tc>
          <w:tcPr>
            <w:tcW w:w="2466" w:type="dxa"/>
            <w:vAlign w:val="center"/>
          </w:tcPr>
          <w:p w:rsidR="00E84B8C" w:rsidRDefault="00E84B8C" w:rsidP="00CB28B5">
            <w:pPr>
              <w:pStyle w:val="IQB-Merkmal"/>
            </w:pPr>
            <w:r>
              <w:t>Kompetenzstufe</w:t>
            </w:r>
          </w:p>
        </w:tc>
        <w:tc>
          <w:tcPr>
            <w:tcW w:w="6604" w:type="dxa"/>
          </w:tcPr>
          <w:p w:rsidR="00E84B8C" w:rsidRDefault="00E84B8C" w:rsidP="00CB28B5">
            <w:pPr>
              <w:pStyle w:val="IQB-Merkmalswert"/>
            </w:pPr>
            <w:r>
              <w:t>3</w:t>
            </w:r>
          </w:p>
        </w:tc>
      </w:tr>
    </w:tbl>
    <w:p w:rsidR="00E84B8C" w:rsidRPr="00E84B8C" w:rsidRDefault="00656648">
      <w:pPr>
        <w:pStyle w:val="IQB-Teilaufgabentitel"/>
        <w:rPr>
          <w:b/>
        </w:rPr>
      </w:pPr>
      <w:r w:rsidRPr="00E84B8C">
        <w:rPr>
          <w:b/>
        </w:rPr>
        <w:t xml:space="preserve">Merkmale </w:t>
      </w:r>
      <w:r w:rsidR="00E84B8C" w:rsidRPr="00E84B8C">
        <w:rPr>
          <w:b/>
        </w:rPr>
        <w:t xml:space="preserve">der </w:t>
      </w:r>
      <w:r w:rsidRPr="00E84B8C">
        <w:rPr>
          <w:b/>
        </w:rPr>
        <w:t>Teilaufgabe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466"/>
        <w:gridCol w:w="6604"/>
      </w:tblGrid>
      <w:tr w:rsidR="00E84B8C" w:rsidTr="00CB28B5">
        <w:tc>
          <w:tcPr>
            <w:tcW w:w="2466" w:type="dxa"/>
            <w:vAlign w:val="center"/>
          </w:tcPr>
          <w:p w:rsidR="00E84B8C" w:rsidRDefault="00E84B8C" w:rsidP="00CB28B5">
            <w:pPr>
              <w:pStyle w:val="IQB-Merkmal"/>
            </w:pPr>
            <w:r>
              <w:t>Leitidee</w:t>
            </w:r>
          </w:p>
        </w:tc>
        <w:tc>
          <w:tcPr>
            <w:tcW w:w="6604" w:type="dxa"/>
          </w:tcPr>
          <w:p w:rsidR="00E84B8C" w:rsidRDefault="00E84B8C" w:rsidP="00CB28B5">
            <w:pPr>
              <w:pStyle w:val="IQB-Merkmalswert"/>
            </w:pPr>
            <w:r>
              <w:t>1. Zahl</w:t>
            </w:r>
          </w:p>
        </w:tc>
      </w:tr>
      <w:tr w:rsidR="00E84B8C" w:rsidTr="00CB28B5">
        <w:tc>
          <w:tcPr>
            <w:tcW w:w="2466" w:type="dxa"/>
            <w:vAlign w:val="center"/>
          </w:tcPr>
          <w:p w:rsidR="00E84B8C" w:rsidRDefault="00E84B8C" w:rsidP="00CB28B5">
            <w:pPr>
              <w:pStyle w:val="IQB-Merkmal"/>
            </w:pPr>
            <w:r>
              <w:t>Allgemeine Kompetenz</w:t>
            </w:r>
          </w:p>
        </w:tc>
        <w:tc>
          <w:tcPr>
            <w:tcW w:w="6604" w:type="dxa"/>
          </w:tcPr>
          <w:p w:rsidR="00E84B8C" w:rsidRDefault="00E84B8C" w:rsidP="00CB28B5">
            <w:pPr>
              <w:pStyle w:val="IQB-Merkmalswert"/>
            </w:pPr>
            <w:r>
              <w:t>Mit Mathematik symbolisch/ formal/ technisch umgehen (K5)</w:t>
            </w:r>
          </w:p>
        </w:tc>
      </w:tr>
      <w:tr w:rsidR="00E84B8C" w:rsidTr="00CB28B5">
        <w:tc>
          <w:tcPr>
            <w:tcW w:w="2466" w:type="dxa"/>
            <w:vAlign w:val="center"/>
          </w:tcPr>
          <w:p w:rsidR="00E84B8C" w:rsidRDefault="00E84B8C" w:rsidP="00CB28B5">
            <w:pPr>
              <w:pStyle w:val="IQB-Merkmal"/>
            </w:pPr>
            <w:r>
              <w:t>Anforderungsbereich</w:t>
            </w:r>
          </w:p>
        </w:tc>
        <w:tc>
          <w:tcPr>
            <w:tcW w:w="6604" w:type="dxa"/>
          </w:tcPr>
          <w:p w:rsidR="00E84B8C" w:rsidRDefault="00E84B8C" w:rsidP="00CB28B5">
            <w:pPr>
              <w:pStyle w:val="IQB-Merkmalswert"/>
            </w:pPr>
            <w:r>
              <w:t>I</w:t>
            </w:r>
          </w:p>
        </w:tc>
      </w:tr>
      <w:tr w:rsidR="00E84B8C" w:rsidTr="00CB28B5">
        <w:tc>
          <w:tcPr>
            <w:tcW w:w="2466" w:type="dxa"/>
            <w:vAlign w:val="center"/>
          </w:tcPr>
          <w:p w:rsidR="00E84B8C" w:rsidRDefault="00E84B8C" w:rsidP="00CB28B5">
            <w:pPr>
              <w:pStyle w:val="IQB-Merkmal"/>
            </w:pPr>
            <w:r>
              <w:t>Kompetenzstufe</w:t>
            </w:r>
          </w:p>
        </w:tc>
        <w:tc>
          <w:tcPr>
            <w:tcW w:w="6604" w:type="dxa"/>
          </w:tcPr>
          <w:p w:rsidR="00E84B8C" w:rsidRDefault="00E84B8C" w:rsidP="00CB28B5">
            <w:pPr>
              <w:pStyle w:val="IQB-Merkmalswert"/>
            </w:pPr>
            <w:r>
              <w:t>4</w:t>
            </w:r>
          </w:p>
        </w:tc>
      </w:tr>
    </w:tbl>
    <w:p w:rsidR="00E84B8C" w:rsidRPr="00E84B8C" w:rsidRDefault="00E84B8C" w:rsidP="00E84B8C">
      <w:pPr>
        <w:pStyle w:val="IQB-Teilaufgabentitel"/>
        <w:rPr>
          <w:b/>
        </w:rPr>
      </w:pPr>
      <w:r w:rsidRPr="00E84B8C">
        <w:rPr>
          <w:b/>
        </w:rPr>
        <w:t>Aufgabenbezogener Kommentar</w:t>
      </w:r>
    </w:p>
    <w:p w:rsidR="00E84B8C" w:rsidRDefault="00E84B8C" w:rsidP="00E84B8C">
      <w:pPr>
        <w:pStyle w:val="Flietext"/>
      </w:pPr>
      <w:r>
        <w:t>Beide Teilaufgaben gehören zur Leitidee Zahl (L1), da Rechengesetze genutzt werden.</w:t>
      </w:r>
    </w:p>
    <w:p w:rsidR="00E84B8C" w:rsidRDefault="00E84B8C" w:rsidP="00E84B8C">
      <w:pPr>
        <w:pStyle w:val="Flietext"/>
      </w:pPr>
      <w:r>
        <w:t xml:space="preserve">In Teilaufgabe 2.1 ist ein gemeinsamer Faktor beider Summanden zu erkennen und dann durch Rückgriff auf das Distributivgesetz die Summe in ein Produkt zu verwandeln (K5). </w:t>
      </w:r>
    </w:p>
    <w:p w:rsidR="00E84B8C" w:rsidRDefault="00E84B8C" w:rsidP="00E84B8C">
      <w:pPr>
        <w:pStyle w:val="Flietext"/>
      </w:pPr>
      <w:r>
        <w:t xml:space="preserve">In Teilaufgabe 2.2 ist die umgekehrte Bearbeitungsrichtung Gegenstand und durch erneutes Anwenden des Distributivgesetzes kann der Term ausmultipliziert werden (K5). </w:t>
      </w:r>
    </w:p>
    <w:p w:rsidR="00E84B8C" w:rsidRDefault="00E84B8C" w:rsidP="00E84B8C">
      <w:pPr>
        <w:pStyle w:val="Flietext"/>
      </w:pPr>
      <w:r>
        <w:t>Beide Teilaufgaben verlangen nur die Anwendung von Routineverfahren und gehören daher zum Anforderungsbereich I.</w:t>
      </w:r>
    </w:p>
    <w:p w:rsidR="00E84B8C" w:rsidRDefault="00E84B8C" w:rsidP="00E84B8C">
      <w:pPr>
        <w:pStyle w:val="Flietext"/>
      </w:pPr>
    </w:p>
    <w:p w:rsidR="00E84B8C" w:rsidRDefault="00E84B8C" w:rsidP="00E84B8C">
      <w:pPr>
        <w:pStyle w:val="Flietext"/>
      </w:pPr>
      <w:r>
        <w:t>Folgende Schwierigkeiten und Fehler sind zu erwarten:</w:t>
      </w:r>
    </w:p>
    <w:p w:rsidR="00E84B8C" w:rsidRDefault="00E84B8C" w:rsidP="00E84B8C">
      <w:pPr>
        <w:pStyle w:val="Flietext"/>
      </w:pPr>
      <w:r>
        <w:t>Zu Teilaufgabe 2.1:</w:t>
      </w:r>
    </w:p>
    <w:p w:rsidR="00E84B8C" w:rsidRDefault="00E84B8C" w:rsidP="00E84B8C">
      <w:pPr>
        <w:pStyle w:val="Flietext"/>
        <w:numPr>
          <w:ilvl w:val="0"/>
          <w:numId w:val="5"/>
        </w:numPr>
      </w:pPr>
      <w:r>
        <w:t>Ein gemeinsamer Faktor wird identifiziert, jedoch nur aus dem ersten Summanden ausgeklammert (K5), wie die folgende Schülerlösung zeigt:</w:t>
      </w:r>
      <w:r>
        <w:br/>
      </w:r>
      <w:r w:rsidRPr="00400489">
        <w:rPr>
          <w:noProof/>
        </w:rPr>
        <w:drawing>
          <wp:inline distT="0" distB="0" distL="0" distR="0">
            <wp:extent cx="1609725" cy="361950"/>
            <wp:effectExtent l="0" t="0" r="9525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0138" b="178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4B8C" w:rsidRDefault="00E84B8C" w:rsidP="00E84B8C">
      <w:pPr>
        <w:pStyle w:val="Flietext"/>
        <w:numPr>
          <w:ilvl w:val="0"/>
          <w:numId w:val="5"/>
        </w:numPr>
      </w:pPr>
      <w:r>
        <w:t>Vorrangregeln werden nicht beachtet und Koeffizienten sowie Variablen werden jeweils für sich genommen zusammengefasst (K5), wie die zweite Schülerlösung zeigt:</w:t>
      </w:r>
      <w:r>
        <w:br/>
      </w:r>
      <w:r w:rsidRPr="00400489">
        <w:rPr>
          <w:noProof/>
        </w:rPr>
        <w:drawing>
          <wp:inline distT="0" distB="0" distL="0" distR="0">
            <wp:extent cx="1581150" cy="400050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103" b="194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4B8C" w:rsidRDefault="00E84B8C" w:rsidP="00E84B8C">
      <w:pPr>
        <w:pStyle w:val="Flietext"/>
      </w:pPr>
    </w:p>
    <w:p w:rsidR="00E84B8C" w:rsidRDefault="00E84B8C" w:rsidP="00E84B8C">
      <w:pPr>
        <w:pStyle w:val="Flietext"/>
      </w:pPr>
      <w:r>
        <w:t>Zu Teilaufgabe 2.2:</w:t>
      </w:r>
    </w:p>
    <w:p w:rsidR="00E84B8C" w:rsidRDefault="00E84B8C" w:rsidP="00E84B8C">
      <w:pPr>
        <w:pStyle w:val="Flietext"/>
        <w:numPr>
          <w:ilvl w:val="0"/>
          <w:numId w:val="6"/>
        </w:numPr>
      </w:pPr>
      <w:r>
        <w:t xml:space="preserve">Der Faktor vor der Klammer wird lediglich auf den ersten Summanden in der Klammer angewendet (K5), wie die folgende Schülerlösung illustriert: </w:t>
      </w:r>
      <w:r>
        <w:br/>
      </w:r>
      <w:r w:rsidRPr="00400489">
        <w:rPr>
          <w:noProof/>
        </w:rPr>
        <w:drawing>
          <wp:inline distT="0" distB="0" distL="0" distR="0">
            <wp:extent cx="1895475" cy="381000"/>
            <wp:effectExtent l="0" t="0" r="9525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274" b="125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4B8C" w:rsidRPr="00455169" w:rsidRDefault="00E84B8C" w:rsidP="00E84B8C">
      <w:pPr>
        <w:pStyle w:val="Flietext"/>
        <w:numPr>
          <w:ilvl w:val="0"/>
          <w:numId w:val="6"/>
        </w:numPr>
      </w:pPr>
      <w:r>
        <w:t xml:space="preserve">Die Multiplikation gleicher Variabler gelingt nicht (K5), sodass die </w:t>
      </w:r>
      <w:r w:rsidRPr="00022409">
        <w:t>Variablen k und m bei der Multiplikation mit k unterschiedlich behandelt werden, wie die folgende Schül</w:t>
      </w:r>
      <w:r>
        <w:t>erlösung zeigt:</w:t>
      </w:r>
      <w:r>
        <w:br/>
      </w:r>
      <w:r w:rsidRPr="00400489">
        <w:rPr>
          <w:noProof/>
        </w:rPr>
        <w:drawing>
          <wp:inline distT="0" distB="0" distL="0" distR="0">
            <wp:extent cx="2257425" cy="342900"/>
            <wp:effectExtent l="0" t="0" r="9525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221" b="330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4B8C" w:rsidRPr="00E84B8C" w:rsidRDefault="00E84B8C" w:rsidP="00E84B8C">
      <w:pPr>
        <w:pStyle w:val="IQB-Teilaufgabentitel"/>
        <w:rPr>
          <w:b/>
        </w:rPr>
      </w:pPr>
      <w:r w:rsidRPr="00E84B8C">
        <w:rPr>
          <w:b/>
        </w:rPr>
        <w:lastRenderedPageBreak/>
        <w:t>Anregungen für den Unterricht</w:t>
      </w:r>
    </w:p>
    <w:p w:rsidR="00E84B8C" w:rsidRDefault="00E84B8C" w:rsidP="00E84B8C">
      <w:pPr>
        <w:pStyle w:val="Flietext"/>
      </w:pPr>
      <w:r>
        <w:t xml:space="preserve">Bereitet das Ausklammern bzw. das Ausmultiplizieren solcher Terme Schwierigkeiten, kann man diese Terme geometrisch veranschaulichen. Dieses Vorgehen bietet sich besonders dann an, wenn fehlerhaft lediglich aus einem Summand ein Faktor – hier: eine Zahl – ausgeklammert wird. </w:t>
      </w:r>
    </w:p>
    <w:p w:rsidR="00E84B8C" w:rsidRDefault="000E0980" w:rsidP="00E84B8C">
      <w:pPr>
        <w:pStyle w:val="Flietext"/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376pt;margin-top:50.8pt;width:33.95pt;height:14.95pt;z-index:251657728">
            <v:imagedata r:id="rId12" o:title=""/>
          </v:shape>
          <o:OLEObject Type="Embed" ProgID="Equation.DSMT4" ShapeID="_x0000_s1028" DrawAspect="Content" ObjectID="_1778498835" r:id="rId13"/>
        </w:object>
      </w:r>
      <w:r>
        <w:rPr>
          <w:noProof/>
        </w:rPr>
        <w:object w:dxaOrig="1440" w:dyaOrig="1440">
          <v:shape id="_x0000_s1027" type="#_x0000_t75" style="position:absolute;margin-left:121.35pt;margin-top:50.75pt;width:39.75pt;height:15pt;z-index:251656704">
            <v:imagedata r:id="rId14" o:title=""/>
          </v:shape>
          <o:OLEObject Type="Embed" ProgID="Equation.DSMT4" ShapeID="_x0000_s1027" DrawAspect="Content" ObjectID="_1778498836" r:id="rId15"/>
        </w:object>
      </w:r>
      <w:r>
        <w:rPr>
          <w:noProof/>
        </w:rPr>
        <w:object w:dxaOrig="1440" w:dyaOrig="1440">
          <v:shape id="_x0000_s1026" type="#_x0000_t75" style="position:absolute;margin-left:255.25pt;margin-top:.4pt;width:39.75pt;height:15pt;z-index:251655680">
            <v:imagedata r:id="rId14" o:title=""/>
          </v:shape>
          <o:OLEObject Type="Embed" ProgID="Equation.DSMT4" ShapeID="_x0000_s1026" DrawAspect="Content" ObjectID="_1778498837" r:id="rId16"/>
        </w:object>
      </w:r>
      <w:r w:rsidR="00E84B8C">
        <w:t xml:space="preserve">So lässt sich in Teilaufgabe 2.1 der gegebene Term               als Strecke darstellen, die sich aus zwei Teilstrecken der Länge </w:t>
      </w:r>
      <w:r w:rsidR="00E84B8C" w:rsidRPr="00E937EC">
        <w:rPr>
          <w:i/>
        </w:rPr>
        <w:t>x</w:t>
      </w:r>
      <w:r w:rsidR="00E84B8C">
        <w:t xml:space="preserve"> sowie vier weiteren Teilstrecken der Länge </w:t>
      </w:r>
      <w:r w:rsidR="00E84B8C" w:rsidRPr="00E937EC">
        <w:rPr>
          <w:i/>
        </w:rPr>
        <w:t>a</w:t>
      </w:r>
      <w:r w:rsidR="00E84B8C">
        <w:t xml:space="preserve"> zusammen</w:t>
      </w:r>
      <w:r w:rsidR="00E84B8C">
        <w:softHyphen/>
        <w:t xml:space="preserve">setzt (vgl. Abbildung 1). Diese sechs Teilstrecken lassen sich derart umordnen, dass sich an eine Teilstrecke </w:t>
      </w:r>
      <w:r w:rsidR="00E84B8C" w:rsidRPr="00E937EC">
        <w:rPr>
          <w:i/>
        </w:rPr>
        <w:t>x</w:t>
      </w:r>
      <w:r w:rsidR="00E84B8C">
        <w:t xml:space="preserve"> jeweils zwei Teilstrecken a anschließen (vgl. Abbildung 2). Diese Umordnung zeigt anschaulich, dass die Gesamtstrecke               durch Verdopplung der „neuen“ Teilstrecke             entsteht. Das heißt dass der Faktor 2 aus dem ursprünglich gegebenen Term ausgeklammert werden kann.</w:t>
      </w:r>
      <w:r w:rsidR="00E84B8C">
        <w:br/>
      </w:r>
      <w:r w:rsidR="00E84B8C">
        <w:rPr>
          <w:noProof/>
        </w:rPr>
        <w:drawing>
          <wp:inline distT="0" distB="0" distL="0" distR="0">
            <wp:extent cx="2019300" cy="2809875"/>
            <wp:effectExtent l="0" t="0" r="0" b="0"/>
            <wp:docPr id="2" name="Grafik 2" descr="M16305_Richtig umgeformt_DK_Abbildung 1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16305_Richtig umgeformt_DK_Abbildung 1-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084" r="50647" b="442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4B8C" w:rsidRDefault="000E0980" w:rsidP="00E84B8C">
      <w:pPr>
        <w:pStyle w:val="Flietext"/>
      </w:pPr>
      <w:r>
        <w:rPr>
          <w:noProof/>
        </w:rPr>
        <w:object w:dxaOrig="1440" w:dyaOrig="1440">
          <v:shape id="_x0000_s1030" type="#_x0000_t75" style="position:absolute;margin-left:24.8pt;margin-top:51.8pt;width:36.75pt;height:15pt;z-index:251659776">
            <v:imagedata r:id="rId18" o:title=""/>
          </v:shape>
          <o:OLEObject Type="Embed" ProgID="Equation.DSMT4" ShapeID="_x0000_s1030" DrawAspect="Content" ObjectID="_1778498838" r:id="rId19"/>
        </w:object>
      </w:r>
      <w:r>
        <w:rPr>
          <w:noProof/>
        </w:rPr>
        <w:object w:dxaOrig="1440" w:dyaOrig="1440">
          <v:shape id="_x0000_s1029" type="#_x0000_t75" style="position:absolute;margin-left:39.5pt;margin-top:38pt;width:60pt;height:15pt;z-index:251658752">
            <v:imagedata r:id="rId20" o:title=""/>
          </v:shape>
          <o:OLEObject Type="Embed" ProgID="Equation.DSMT4" ShapeID="_x0000_s1029" DrawAspect="Content" ObjectID="_1778498839" r:id="rId21"/>
        </w:object>
      </w:r>
      <w:r w:rsidR="00E84B8C">
        <w:t>Bereitet Teilaufgabe 2.2 Schwierigkeiten, so kann man auch hier Visualisierungen des gegebenen Terms nutzen, um die Anwendung des Distributivgesetzes vertiefend zu üben. Allerdings erfordern diese geometrischen Ver</w:t>
      </w:r>
      <w:bookmarkStart w:id="0" w:name="_GoBack"/>
      <w:bookmarkEnd w:id="0"/>
      <w:r w:rsidR="00E84B8C">
        <w:t>anschaulichungen ein größeres Abstraktions</w:t>
      </w:r>
      <w:r w:rsidR="00E84B8C">
        <w:softHyphen/>
        <w:t>vermögen. Das Produkt                     lässt sich dabei als Flächeninhalt eines Rechtecks mit den Seitenlängen 4</w:t>
      </w:r>
      <w:r w:rsidR="00E84B8C" w:rsidRPr="00E937EC">
        <w:rPr>
          <w:i/>
        </w:rPr>
        <w:t>k</w:t>
      </w:r>
      <w:r w:rsidR="00E84B8C">
        <w:t xml:space="preserve"> bzw.             deuten (vgl. schraffiertes Teilrechteck in Abbildung 3).</w:t>
      </w:r>
    </w:p>
    <w:p w:rsidR="00E84B8C" w:rsidRDefault="00E84B8C" w:rsidP="00E84B8C">
      <w:pPr>
        <w:pStyle w:val="Flietext"/>
      </w:pPr>
      <w:r>
        <w:rPr>
          <w:noProof/>
        </w:rPr>
        <w:drawing>
          <wp:inline distT="0" distB="0" distL="0" distR="0">
            <wp:extent cx="3533775" cy="2133600"/>
            <wp:effectExtent l="0" t="0" r="0" b="0"/>
            <wp:docPr id="1" name="Grafik 1" descr="M16305_Richtig umgeformt_DK_Abbildung 1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16305_Richtig umgeformt_DK_Abbildung 1-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084" t="58170" r="264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4B8C" w:rsidRDefault="00E84B8C" w:rsidP="00E84B8C">
      <w:pPr>
        <w:pStyle w:val="Flietext"/>
        <w:rPr>
          <w:noProof/>
        </w:rPr>
      </w:pPr>
      <w:r w:rsidRPr="004410A9">
        <w:rPr>
          <w:noProof/>
        </w:rPr>
        <w:t xml:space="preserve">Für weitere </w:t>
      </w:r>
      <w:r>
        <w:rPr>
          <w:noProof/>
        </w:rPr>
        <w:t>Anregungen zum Übersetzen zwischen Termen und deren Darstellungen vergleiche man auch das Allgemeine Kapitel zur Kompetenz „Mit symbolischen, formalen und technischen Elemente der Mathematik umgehen“.</w:t>
      </w:r>
    </w:p>
    <w:p w:rsidR="00E52BA4" w:rsidRDefault="00E52BA4">
      <w:pPr>
        <w:pStyle w:val="IQB-Teilaufgabentitel"/>
      </w:pPr>
    </w:p>
    <w:sectPr w:rsidR="00E52BA4" w:rsidSect="00DB65DC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0D5C" w:rsidRDefault="00CC0D5C" w:rsidP="005E2C46">
      <w:r>
        <w:separator/>
      </w:r>
    </w:p>
  </w:endnote>
  <w:endnote w:type="continuationSeparator" w:id="0">
    <w:p w:rsidR="00CC0D5C" w:rsidRDefault="00CC0D5C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D5C" w:rsidRDefault="00CC0D5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D5C" w:rsidRDefault="00CC0D5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D5C" w:rsidRDefault="00CC0D5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0D5C" w:rsidRDefault="00CC0D5C" w:rsidP="005E2C46">
      <w:r>
        <w:separator/>
      </w:r>
    </w:p>
  </w:footnote>
  <w:footnote w:type="continuationSeparator" w:id="0">
    <w:p w:rsidR="00CC0D5C" w:rsidRDefault="00CC0D5C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D5C" w:rsidRDefault="00CC0D5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D5C" w:rsidRDefault="00CC0D5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D5C" w:rsidRDefault="00CC0D5C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3395999"/>
    <w:multiLevelType w:val="hybridMultilevel"/>
    <w:tmpl w:val="D8BC2438"/>
    <w:lvl w:ilvl="0" w:tplc="602A81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57C0A"/>
    <w:multiLevelType w:val="hybridMultilevel"/>
    <w:tmpl w:val="15EE9866"/>
    <w:lvl w:ilvl="0" w:tplc="CC2EACC8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BE0024"/>
    <w:multiLevelType w:val="hybridMultilevel"/>
    <w:tmpl w:val="37A4F0CE"/>
    <w:lvl w:ilvl="0" w:tplc="602A81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AD4B94"/>
    <w:multiLevelType w:val="hybridMultilevel"/>
    <w:tmpl w:val="553071C0"/>
    <w:lvl w:ilvl="0" w:tplc="F41A3256">
      <w:numFmt w:val="bullet"/>
      <w:pStyle w:val="Aufzhlung"/>
      <w:lvlText w:val="-"/>
      <w:lvlJc w:val="left"/>
      <w:pPr>
        <w:ind w:left="36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83727"/>
    <w:rsid w:val="00090346"/>
    <w:rsid w:val="000D4117"/>
    <w:rsid w:val="000D5D22"/>
    <w:rsid w:val="000D6068"/>
    <w:rsid w:val="000E0980"/>
    <w:rsid w:val="000E70CA"/>
    <w:rsid w:val="00104280"/>
    <w:rsid w:val="00116119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222AD"/>
    <w:rsid w:val="0053290E"/>
    <w:rsid w:val="00540637"/>
    <w:rsid w:val="00566351"/>
    <w:rsid w:val="00590300"/>
    <w:rsid w:val="005967F1"/>
    <w:rsid w:val="005B26C9"/>
    <w:rsid w:val="005E2C46"/>
    <w:rsid w:val="005F046F"/>
    <w:rsid w:val="005F3A9E"/>
    <w:rsid w:val="005F4824"/>
    <w:rsid w:val="00606926"/>
    <w:rsid w:val="0061709D"/>
    <w:rsid w:val="00656648"/>
    <w:rsid w:val="00666933"/>
    <w:rsid w:val="00685869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B41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C0D5C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52BA4"/>
    <w:rsid w:val="00E84B8C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5:docId w15:val="{1570E3F2-CEA7-476E-8AEF-C9B142892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uiPriority w:val="99"/>
    <w:rsid w:val="0053290E"/>
    <w:pPr>
      <w:spacing w:before="240" w:after="60"/>
    </w:pPr>
    <w:rPr>
      <w:sz w:val="22"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53290E"/>
    <w:rPr>
      <w:rFonts w:cs="Arial"/>
      <w:sz w:val="18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53290E"/>
    <w:pPr>
      <w:numPr>
        <w:numId w:val="1"/>
      </w:numPr>
      <w:ind w:left="170" w:hanging="170"/>
    </w:pPr>
    <w:rPr>
      <w:sz w:val="18"/>
    </w:rPr>
  </w:style>
  <w:style w:type="character" w:customStyle="1" w:styleId="IQB-RSNormalZchn">
    <w:name w:val="IQB-RSNormal Zchn"/>
    <w:basedOn w:val="Absatz-Standardschriftart"/>
    <w:link w:val="IQB-RSNormal"/>
    <w:rsid w:val="0053290E"/>
    <w:rPr>
      <w:rFonts w:ascii="Arial" w:hAnsi="Arial" w:cs="Arial"/>
      <w:sz w:val="18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53290E"/>
    <w:rPr>
      <w:sz w:val="18"/>
    </w:rPr>
  </w:style>
  <w:style w:type="character" w:customStyle="1" w:styleId="IQB-RSExampleZchn">
    <w:name w:val="IQB-RSExample Zchn"/>
    <w:basedOn w:val="IQB-RSNormalZchn"/>
    <w:link w:val="IQB-RSExample"/>
    <w:rsid w:val="0053290E"/>
    <w:rPr>
      <w:rFonts w:ascii="Arial" w:hAnsi="Arial" w:cs="Arial"/>
      <w:sz w:val="18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53290E"/>
    <w:rPr>
      <w:sz w:val="18"/>
    </w:rPr>
  </w:style>
  <w:style w:type="character" w:customStyle="1" w:styleId="IQB-RSHeaderAufgabeZchn">
    <w:name w:val="IQB-RSHeaderAufgabe Zchn"/>
    <w:basedOn w:val="IQB-RSNormalZchn"/>
    <w:link w:val="IQB-RSHeaderAufgabe"/>
    <w:rsid w:val="0053290E"/>
    <w:rPr>
      <w:rFonts w:ascii="Arial" w:hAnsi="Arial" w:cs="Arial"/>
      <w:sz w:val="18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53290E"/>
    <w:rPr>
      <w:sz w:val="18"/>
    </w:rPr>
  </w:style>
  <w:style w:type="character" w:customStyle="1" w:styleId="IQB-RSHeaderItemZchn">
    <w:name w:val="IQB-RSHeaderItem Zchn"/>
    <w:basedOn w:val="IQB-RSHeaderAufgabeZchn"/>
    <w:link w:val="IQB-RSHeaderItem"/>
    <w:rsid w:val="0053290E"/>
    <w:rPr>
      <w:rFonts w:ascii="Arial" w:hAnsi="Arial" w:cs="Arial"/>
      <w:sz w:val="18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53290E"/>
    <w:rPr>
      <w:rFonts w:ascii="Arial" w:hAnsi="Arial" w:cs="Arial"/>
      <w:sz w:val="18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53290E"/>
    <w:rPr>
      <w:rFonts w:cs="Arial"/>
      <w:sz w:val="18"/>
    </w:rPr>
  </w:style>
  <w:style w:type="paragraph" w:customStyle="1" w:styleId="IQB-RSPosition">
    <w:name w:val="IQB-RSPosition"/>
    <w:basedOn w:val="IQB-Standard"/>
    <w:link w:val="IQB-RSPositionZchn"/>
    <w:qFormat/>
    <w:rsid w:val="0053290E"/>
    <w:rPr>
      <w:sz w:val="18"/>
    </w:rPr>
  </w:style>
  <w:style w:type="character" w:customStyle="1" w:styleId="IQB-RSAllgemeinZchn">
    <w:name w:val="IQB-RSAllgemein Zchn"/>
    <w:basedOn w:val="Absatz-Standardschriftart"/>
    <w:link w:val="IQB-RSAllgemein"/>
    <w:rsid w:val="0053290E"/>
    <w:rPr>
      <w:rFonts w:ascii="Arial" w:hAnsi="Arial" w:cs="Arial"/>
      <w:sz w:val="18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53290E"/>
    <w:rPr>
      <w:sz w:val="18"/>
    </w:rPr>
  </w:style>
  <w:style w:type="character" w:customStyle="1" w:styleId="IQB-RSPositionZchn">
    <w:name w:val="IQB-RSPosition Zchn"/>
    <w:basedOn w:val="IQB-RSAllgemeinZchn"/>
    <w:link w:val="IQB-RSPosition"/>
    <w:rsid w:val="0053290E"/>
    <w:rPr>
      <w:rFonts w:ascii="Arial" w:hAnsi="Arial" w:cs="Arial"/>
      <w:sz w:val="18"/>
      <w:szCs w:val="24"/>
    </w:rPr>
  </w:style>
  <w:style w:type="paragraph" w:customStyle="1" w:styleId="IQB-RSScore">
    <w:name w:val="IQB-RSScore"/>
    <w:basedOn w:val="IQB-Standard"/>
    <w:link w:val="IQB-RSScoreZchn"/>
    <w:qFormat/>
    <w:rsid w:val="0053290E"/>
    <w:rPr>
      <w:sz w:val="18"/>
    </w:rPr>
  </w:style>
  <w:style w:type="character" w:customStyle="1" w:styleId="IQB-RSCodeValueZchn">
    <w:name w:val="IQB-RSCodeValue Zchn"/>
    <w:basedOn w:val="IQB-RSPositionZchn"/>
    <w:link w:val="IQB-RSCodeValue"/>
    <w:rsid w:val="0053290E"/>
    <w:rPr>
      <w:rFonts w:ascii="Arial" w:hAnsi="Arial" w:cs="Arial"/>
      <w:sz w:val="18"/>
      <w:szCs w:val="24"/>
    </w:rPr>
  </w:style>
  <w:style w:type="character" w:customStyle="1" w:styleId="IQB-RSScoreZchn">
    <w:name w:val="IQB-RSScore Zchn"/>
    <w:basedOn w:val="IQB-RSCodeValueZchn"/>
    <w:link w:val="IQB-RSScore"/>
    <w:rsid w:val="0053290E"/>
    <w:rPr>
      <w:rFonts w:ascii="Arial" w:hAnsi="Arial" w:cs="Arial"/>
      <w:sz w:val="18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uiPriority w:val="99"/>
    <w:rsid w:val="0053290E"/>
    <w:rPr>
      <w:rFonts w:ascii="Arial" w:hAnsi="Arial"/>
      <w:sz w:val="22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 w:val="0"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53290E"/>
    <w:rPr>
      <w:sz w:val="18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 w:val="0"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uiPriority w:val="99"/>
    <w:qFormat/>
    <w:rsid w:val="0053290E"/>
    <w:rPr>
      <w:sz w:val="18"/>
    </w:rPr>
  </w:style>
  <w:style w:type="character" w:customStyle="1" w:styleId="IQB-MerkmalZchn">
    <w:name w:val="IQB-Merkmal Zchn"/>
    <w:basedOn w:val="IQB-TeilaufgabentitelZchn"/>
    <w:link w:val="IQB-Merkmal"/>
    <w:rsid w:val="0053290E"/>
    <w:rPr>
      <w:rFonts w:ascii="Arial" w:hAnsi="Arial"/>
      <w:sz w:val="18"/>
      <w:szCs w:val="22"/>
    </w:rPr>
  </w:style>
  <w:style w:type="character" w:customStyle="1" w:styleId="IQB-MerkmalswertZchn">
    <w:name w:val="IQB-Merkmalswert Zchn"/>
    <w:basedOn w:val="IQB-MerkmalZchn"/>
    <w:link w:val="IQB-Merkmalswert"/>
    <w:uiPriority w:val="99"/>
    <w:rsid w:val="0053290E"/>
    <w:rPr>
      <w:rFonts w:ascii="Arial" w:hAnsi="Arial"/>
      <w:sz w:val="18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Flietext">
    <w:name w:val="Fließtext"/>
    <w:basedOn w:val="Standard"/>
    <w:link w:val="FlietextZchn"/>
    <w:rsid w:val="0053290E"/>
    <w:pPr>
      <w:spacing w:after="120"/>
    </w:pPr>
    <w:rPr>
      <w:rFonts w:ascii="Arial" w:hAnsi="Arial"/>
      <w:sz w:val="22"/>
    </w:rPr>
  </w:style>
  <w:style w:type="paragraph" w:customStyle="1" w:styleId="Aufzhlung">
    <w:name w:val="Aufzählung"/>
    <w:basedOn w:val="Standard"/>
    <w:rsid w:val="0053290E"/>
    <w:pPr>
      <w:numPr>
        <w:numId w:val="4"/>
      </w:numPr>
      <w:spacing w:before="50"/>
    </w:pPr>
    <w:rPr>
      <w:rFonts w:ascii="Arial" w:hAnsi="Arial"/>
      <w:sz w:val="22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685869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685869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  <w:style w:type="character" w:customStyle="1" w:styleId="FlietextZchn">
    <w:name w:val="Fließtext Zchn"/>
    <w:link w:val="Flietext"/>
    <w:rsid w:val="00E84B8C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image" Target="media/image8.wmf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7.emf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image" Target="media/image9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wmf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5F64B-3DCA-4844-86F9-2ECC85C51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9</cp:revision>
  <cp:lastPrinted>2012-12-11T10:05:00Z</cp:lastPrinted>
  <dcterms:created xsi:type="dcterms:W3CDTF">2024-04-26T08:28:00Z</dcterms:created>
  <dcterms:modified xsi:type="dcterms:W3CDTF">2024-05-29T12:41:00Z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Ma1 online DidKomms Hauptdurchgang VERA; perskeea; 26.04.2024</vt:lpwstr>
  </property>
</Properties>
</file>